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120"/>
      </w:pPr>
      <w:r>
        <w:rPr>
          <w:rFonts w:ascii="Calibri" w:hAnsi="Calibri"/>
          <w:b/>
          <w:color w:val="0B2545"/>
          <w:sz w:val="52"/>
        </w:rPr>
        <w:t>Atomency Chemistry Learning Plan</w:t>
      </w:r>
    </w:p>
    <w:p>
      <w:r>
        <w:rPr>
          <w:rFonts w:ascii="Calibri" w:hAnsi="Calibri"/>
          <w:i/>
          <w:color w:val="7A5A00"/>
          <w:sz w:val="30"/>
        </w:rPr>
        <w:t>Premade assignments + Clever deployment guide</w:t>
      </w:r>
    </w:p>
    <w:p>
      <w:r>
        <w:rPr>
          <w:color w:val="5A5A5A"/>
          <w:sz w:val="18"/>
        </w:rPr>
        <w:t>Version: May 2026 | Audience: Grades 9-12 Chemistry, AP/IB support, advanced middle school physical science</w:t>
      </w:r>
    </w:p>
    <w:p>
      <w:r>
        <w:t>Atomency is a browser-based instructional chemistry workspace founded by Ky'lin Spears. The platform combines Molecular Lab, Chemical Bench, module-based simulations, teacher-created assignment links, evidence portfolios, and local export workflows.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432"/>
      </w:tblGrid>
      <w:tr>
        <w:tc>
          <w:tcPr>
            <w:tcW w:type="dxa" w:w="9432"/>
            <w:shd w:fill="FFF4D6"/>
            <w:vAlign w:val="center"/>
          </w:tcPr>
          <w:p>
            <w:r/>
            <w:r>
              <w:rPr>
                <w:rFonts w:ascii="Calibri" w:hAnsi="Calibri"/>
                <w:b w:val="0"/>
                <w:color w:val="4A3500"/>
                <w:sz w:val="19"/>
              </w:rPr>
              <w:t>Licensing boundary: Atomency can be explored publicly by individuals. Official classroom use, assignment distribution, school deployment, or institutional pilots require a paid license or written authorization.</w:t>
            </w:r>
          </w:p>
        </w:tc>
      </w:tr>
    </w:tbl>
    <w:p/>
    <w:p>
      <w:pPr>
        <w:pStyle w:val="Heading1"/>
      </w:pPr>
      <w:r>
        <w:t>Instructional Model</w:t>
      </w:r>
    </w:p>
    <w:p>
      <w:r>
        <w:t>Atomency lessons work best as an evidence loop: students predict, build or mix, measure, explain, export, and revise. The product should be used as a practice and evidence workspace, not as a one-click answer key.</w:t>
      </w:r>
    </w:p>
    <w:p>
      <w:pPr>
        <w:pStyle w:val="ListNumber"/>
        <w:spacing w:after="60"/>
        <w:ind w:left="461" w:hanging="259"/>
      </w:pPr>
      <w:r>
        <w:t>Predict before using a simulator.</w:t>
      </w:r>
    </w:p>
    <w:p>
      <w:pPr>
        <w:pStyle w:val="ListNumber"/>
        <w:spacing w:after="60"/>
        <w:ind w:left="461" w:hanging="259"/>
      </w:pPr>
      <w:r>
        <w:t>Build or mix using Molecular Lab, Chemical Bench, or another module.</w:t>
      </w:r>
    </w:p>
    <w:p>
      <w:pPr>
        <w:pStyle w:val="ListNumber"/>
        <w:spacing w:after="60"/>
        <w:ind w:left="461" w:hanging="259"/>
      </w:pPr>
      <w:r>
        <w:t>Measure quantities, model state, visible changes, pH, concentration, structure, or graph data.</w:t>
      </w:r>
    </w:p>
    <w:p>
      <w:pPr>
        <w:pStyle w:val="ListNumber"/>
        <w:spacing w:after="60"/>
        <w:ind w:left="461" w:hanging="259"/>
      </w:pPr>
      <w:r>
        <w:t>Explain with a CER response.</w:t>
      </w:r>
    </w:p>
    <w:p>
      <w:pPr>
        <w:pStyle w:val="ListNumber"/>
        <w:spacing w:after="60"/>
        <w:ind w:left="461" w:hanging="259"/>
      </w:pPr>
      <w:r>
        <w:t>Export a portfolio, result summary, screenshot, or local JSON artifact.</w:t>
      </w:r>
    </w:p>
    <w:p>
      <w:pPr>
        <w:pStyle w:val="ListNumber"/>
        <w:spacing w:after="60"/>
        <w:ind w:left="461" w:hanging="259"/>
      </w:pPr>
      <w:r>
        <w:t>Revise after teacher feedback.</w:t>
      </w:r>
    </w:p>
    <w:p>
      <w:pPr>
        <w:pStyle w:val="Heading1"/>
      </w:pPr>
      <w:r>
        <w:t>Eight-Part Unit Sequence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2484"/>
        <w:gridCol w:w="2484"/>
        <w:gridCol w:w="2484"/>
        <w:gridCol w:w="2484"/>
      </w:tblGrid>
      <w:tr>
        <w:tc>
          <w:tcPr>
            <w:tcW w:type="dxa" w:w="936"/>
            <w:shd w:fill="E8EEF5"/>
            <w:vAlign w:val="center"/>
          </w:tcPr>
          <w:p>
            <w:r/>
            <w:r>
              <w:rPr>
                <w:rFonts w:ascii="Calibri" w:hAnsi="Calibri"/>
                <w:b/>
                <w:color w:val="1F4D78"/>
                <w:sz w:val="19"/>
              </w:rPr>
              <w:t>Week</w:t>
            </w:r>
          </w:p>
        </w:tc>
        <w:tc>
          <w:tcPr>
            <w:tcW w:type="dxa" w:w="2880"/>
            <w:shd w:fill="E8EEF5"/>
            <w:vAlign w:val="center"/>
          </w:tcPr>
          <w:p>
            <w:r/>
            <w:r>
              <w:rPr>
                <w:rFonts w:ascii="Calibri" w:hAnsi="Calibri"/>
                <w:b/>
                <w:color w:val="1F4D78"/>
                <w:sz w:val="19"/>
              </w:rPr>
              <w:t>Focus</w:t>
            </w:r>
          </w:p>
        </w:tc>
        <w:tc>
          <w:tcPr>
            <w:tcW w:type="dxa" w:w="3024"/>
            <w:shd w:fill="E8EEF5"/>
            <w:vAlign w:val="center"/>
          </w:tcPr>
          <w:p>
            <w:r/>
            <w:r>
              <w:rPr>
                <w:rFonts w:ascii="Calibri" w:hAnsi="Calibri"/>
                <w:b/>
                <w:color w:val="1F4D78"/>
                <w:sz w:val="19"/>
              </w:rPr>
              <w:t>Modules</w:t>
            </w:r>
          </w:p>
        </w:tc>
        <w:tc>
          <w:tcPr>
            <w:tcW w:type="dxa" w:w="2592"/>
            <w:shd w:fill="E8EEF5"/>
            <w:vAlign w:val="center"/>
          </w:tcPr>
          <w:p>
            <w:r/>
            <w:r>
              <w:rPr>
                <w:rFonts w:ascii="Calibri" w:hAnsi="Calibri"/>
                <w:b/>
                <w:color w:val="1F4D78"/>
                <w:sz w:val="19"/>
              </w:rPr>
              <w:t>Student Product</w:t>
            </w:r>
          </w:p>
        </w:tc>
      </w:tr>
      <w:tr>
        <w:tc>
          <w:tcPr>
            <w:tcW w:type="dxa" w:w="936"/>
            <w:vAlign w:val="center"/>
          </w:tcPr>
          <w:p>
            <w:r/>
            <w:r>
              <w:rPr>
                <w:rFonts w:ascii="Calibri" w:hAnsi="Calibri"/>
                <w:b w:val="0"/>
                <w:sz w:val="19"/>
              </w:rPr>
              <w:t>1</w:t>
            </w:r>
          </w:p>
        </w:tc>
        <w:tc>
          <w:tcPr>
            <w:tcW w:type="dxa" w:w="2880"/>
            <w:vAlign w:val="center"/>
          </w:tcPr>
          <w:p>
            <w:r/>
            <w:r>
              <w:rPr>
                <w:rFonts w:ascii="Calibri" w:hAnsi="Calibri"/>
                <w:b w:val="0"/>
                <w:sz w:val="19"/>
              </w:rPr>
              <w:t>Atomic structure and periodic patterns</w:t>
            </w:r>
          </w:p>
        </w:tc>
        <w:tc>
          <w:tcPr>
            <w:tcW w:type="dxa" w:w="3024"/>
            <w:vAlign w:val="center"/>
          </w:tcPr>
          <w:p>
            <w:r/>
            <w:r>
              <w:rPr>
                <w:rFonts w:ascii="Calibri" w:hAnsi="Calibri"/>
                <w:b w:val="0"/>
                <w:sz w:val="19"/>
              </w:rPr>
              <w:t>Periodic Table, Orbitals</w:t>
            </w:r>
          </w:p>
        </w:tc>
        <w:tc>
          <w:tcPr>
            <w:tcW w:type="dxa" w:w="2592"/>
            <w:vAlign w:val="center"/>
          </w:tcPr>
          <w:p>
            <w:r/>
            <w:r>
              <w:rPr>
                <w:rFonts w:ascii="Calibri" w:hAnsi="Calibri"/>
                <w:b w:val="0"/>
                <w:sz w:val="19"/>
              </w:rPr>
              <w:t>Trend evidence note</w:t>
            </w:r>
          </w:p>
        </w:tc>
      </w:tr>
      <w:tr>
        <w:tc>
          <w:tcPr>
            <w:tcW w:type="dxa" w:w="936"/>
            <w:vAlign w:val="center"/>
          </w:tcPr>
          <w:p>
            <w:r/>
            <w:r>
              <w:rPr>
                <w:rFonts w:ascii="Calibri" w:hAnsi="Calibri"/>
                <w:b w:val="0"/>
                <w:sz w:val="19"/>
              </w:rPr>
              <w:t>2</w:t>
            </w:r>
          </w:p>
        </w:tc>
        <w:tc>
          <w:tcPr>
            <w:tcW w:type="dxa" w:w="2880"/>
            <w:vAlign w:val="center"/>
          </w:tcPr>
          <w:p>
            <w:r/>
            <w:r>
              <w:rPr>
                <w:rFonts w:ascii="Calibri" w:hAnsi="Calibri"/>
                <w:b w:val="0"/>
                <w:sz w:val="19"/>
              </w:rPr>
              <w:t>Molecular structure and VSEPR</w:t>
            </w:r>
          </w:p>
        </w:tc>
        <w:tc>
          <w:tcPr>
            <w:tcW w:type="dxa" w:w="3024"/>
            <w:vAlign w:val="center"/>
          </w:tcPr>
          <w:p>
            <w:r/>
            <w:r>
              <w:rPr>
                <w:rFonts w:ascii="Calibri" w:hAnsi="Calibri"/>
                <w:b w:val="0"/>
                <w:sz w:val="19"/>
              </w:rPr>
              <w:t>Molecular Lab</w:t>
            </w:r>
          </w:p>
        </w:tc>
        <w:tc>
          <w:tcPr>
            <w:tcW w:type="dxa" w:w="2592"/>
            <w:vAlign w:val="center"/>
          </w:tcPr>
          <w:p>
            <w:r/>
            <w:r>
              <w:rPr>
                <w:rFonts w:ascii="Calibri" w:hAnsi="Calibri"/>
                <w:b w:val="0"/>
                <w:sz w:val="19"/>
              </w:rPr>
              <w:t>Geometry CER</w:t>
            </w:r>
          </w:p>
        </w:tc>
      </w:tr>
      <w:tr>
        <w:tc>
          <w:tcPr>
            <w:tcW w:type="dxa" w:w="936"/>
            <w:vAlign w:val="center"/>
          </w:tcPr>
          <w:p>
            <w:r/>
            <w:r>
              <w:rPr>
                <w:rFonts w:ascii="Calibri" w:hAnsi="Calibri"/>
                <w:b w:val="0"/>
                <w:sz w:val="19"/>
              </w:rPr>
              <w:t>3</w:t>
            </w:r>
          </w:p>
        </w:tc>
        <w:tc>
          <w:tcPr>
            <w:tcW w:type="dxa" w:w="2880"/>
            <w:vAlign w:val="center"/>
          </w:tcPr>
          <w:p>
            <w:r/>
            <w:r>
              <w:rPr>
                <w:rFonts w:ascii="Calibri" w:hAnsi="Calibri"/>
                <w:b w:val="0"/>
                <w:sz w:val="19"/>
              </w:rPr>
              <w:t>Reactions and visible evidence</w:t>
            </w:r>
          </w:p>
        </w:tc>
        <w:tc>
          <w:tcPr>
            <w:tcW w:type="dxa" w:w="3024"/>
            <w:vAlign w:val="center"/>
          </w:tcPr>
          <w:p>
            <w:r/>
            <w:r>
              <w:rPr>
                <w:rFonts w:ascii="Calibri" w:hAnsi="Calibri"/>
                <w:b w:val="0"/>
                <w:sz w:val="19"/>
              </w:rPr>
              <w:t>Chemical Bench, Equation Check</w:t>
            </w:r>
          </w:p>
        </w:tc>
        <w:tc>
          <w:tcPr>
            <w:tcW w:type="dxa" w:w="2592"/>
            <w:vAlign w:val="center"/>
          </w:tcPr>
          <w:p>
            <w:r/>
            <w:r>
              <w:rPr>
                <w:rFonts w:ascii="Calibri" w:hAnsi="Calibri"/>
                <w:b w:val="0"/>
                <w:sz w:val="19"/>
              </w:rPr>
              <w:t>Reaction story and data table</w:t>
            </w:r>
          </w:p>
        </w:tc>
      </w:tr>
      <w:tr>
        <w:tc>
          <w:tcPr>
            <w:tcW w:type="dxa" w:w="936"/>
            <w:vAlign w:val="center"/>
          </w:tcPr>
          <w:p>
            <w:r/>
            <w:r>
              <w:rPr>
                <w:rFonts w:ascii="Calibri" w:hAnsi="Calibri"/>
                <w:b w:val="0"/>
                <w:sz w:val="19"/>
              </w:rPr>
              <w:t>4</w:t>
            </w:r>
          </w:p>
        </w:tc>
        <w:tc>
          <w:tcPr>
            <w:tcW w:type="dxa" w:w="2880"/>
            <w:vAlign w:val="center"/>
          </w:tcPr>
          <w:p>
            <w:r/>
            <w:r>
              <w:rPr>
                <w:rFonts w:ascii="Calibri" w:hAnsi="Calibri"/>
                <w:b w:val="0"/>
                <w:sz w:val="19"/>
              </w:rPr>
              <w:t>Moles and stoichiometry</w:t>
            </w:r>
          </w:p>
        </w:tc>
        <w:tc>
          <w:tcPr>
            <w:tcW w:type="dxa" w:w="3024"/>
            <w:vAlign w:val="center"/>
          </w:tcPr>
          <w:p>
            <w:r/>
            <w:r>
              <w:rPr>
                <w:rFonts w:ascii="Calibri" w:hAnsi="Calibri"/>
                <w:b w:val="0"/>
                <w:sz w:val="19"/>
              </w:rPr>
              <w:t>Mole Practice, Stoichiometry</w:t>
            </w:r>
          </w:p>
        </w:tc>
        <w:tc>
          <w:tcPr>
            <w:tcW w:type="dxa" w:w="2592"/>
            <w:vAlign w:val="center"/>
          </w:tcPr>
          <w:p>
            <w:r/>
            <w:r>
              <w:rPr>
                <w:rFonts w:ascii="Calibri" w:hAnsi="Calibri"/>
                <w:b w:val="0"/>
                <w:sz w:val="19"/>
              </w:rPr>
              <w:t>Checked setup and reflection</w:t>
            </w:r>
          </w:p>
        </w:tc>
      </w:tr>
      <w:tr>
        <w:tc>
          <w:tcPr>
            <w:tcW w:type="dxa" w:w="936"/>
            <w:vAlign w:val="center"/>
          </w:tcPr>
          <w:p>
            <w:r/>
            <w:r>
              <w:rPr>
                <w:rFonts w:ascii="Calibri" w:hAnsi="Calibri"/>
                <w:b w:val="0"/>
                <w:sz w:val="19"/>
              </w:rPr>
              <w:t>5</w:t>
            </w:r>
          </w:p>
        </w:tc>
        <w:tc>
          <w:tcPr>
            <w:tcW w:type="dxa" w:w="2880"/>
            <w:vAlign w:val="center"/>
          </w:tcPr>
          <w:p>
            <w:r/>
            <w:r>
              <w:rPr>
                <w:rFonts w:ascii="Calibri" w:hAnsi="Calibri"/>
                <w:b w:val="0"/>
                <w:sz w:val="19"/>
              </w:rPr>
              <w:t>Energy and reaction rates</w:t>
            </w:r>
          </w:p>
        </w:tc>
        <w:tc>
          <w:tcPr>
            <w:tcW w:type="dxa" w:w="3024"/>
            <w:vAlign w:val="center"/>
          </w:tcPr>
          <w:p>
            <w:r/>
            <w:r>
              <w:rPr>
                <w:rFonts w:ascii="Calibri" w:hAnsi="Calibri"/>
                <w:b w:val="0"/>
                <w:sz w:val="19"/>
              </w:rPr>
              <w:t>Thermo, Kinetics</w:t>
            </w:r>
          </w:p>
        </w:tc>
        <w:tc>
          <w:tcPr>
            <w:tcW w:type="dxa" w:w="2592"/>
            <w:vAlign w:val="center"/>
          </w:tcPr>
          <w:p>
            <w:r/>
            <w:r>
              <w:rPr>
                <w:rFonts w:ascii="Calibri" w:hAnsi="Calibri"/>
                <w:b w:val="0"/>
                <w:sz w:val="19"/>
              </w:rPr>
              <w:t>Energy/rate claim</w:t>
            </w:r>
          </w:p>
        </w:tc>
      </w:tr>
      <w:tr>
        <w:tc>
          <w:tcPr>
            <w:tcW w:type="dxa" w:w="936"/>
            <w:vAlign w:val="center"/>
          </w:tcPr>
          <w:p>
            <w:r/>
            <w:r>
              <w:rPr>
                <w:rFonts w:ascii="Calibri" w:hAnsi="Calibri"/>
                <w:b w:val="0"/>
                <w:sz w:val="19"/>
              </w:rPr>
              <w:t>6</w:t>
            </w:r>
          </w:p>
        </w:tc>
        <w:tc>
          <w:tcPr>
            <w:tcW w:type="dxa" w:w="2880"/>
            <w:vAlign w:val="center"/>
          </w:tcPr>
          <w:p>
            <w:r/>
            <w:r>
              <w:rPr>
                <w:rFonts w:ascii="Calibri" w:hAnsi="Calibri"/>
                <w:b w:val="0"/>
                <w:sz w:val="19"/>
              </w:rPr>
              <w:t>Acids, bases, and equilibrium</w:t>
            </w:r>
          </w:p>
        </w:tc>
        <w:tc>
          <w:tcPr>
            <w:tcW w:type="dxa" w:w="3024"/>
            <w:vAlign w:val="center"/>
          </w:tcPr>
          <w:p>
            <w:r/>
            <w:r>
              <w:rPr>
                <w:rFonts w:ascii="Calibri" w:hAnsi="Calibri"/>
                <w:b w:val="0"/>
                <w:sz w:val="19"/>
              </w:rPr>
              <w:t>pH/Acids, Titration, Equilibrium</w:t>
            </w:r>
          </w:p>
        </w:tc>
        <w:tc>
          <w:tcPr>
            <w:tcW w:type="dxa" w:w="2592"/>
            <w:vAlign w:val="center"/>
          </w:tcPr>
          <w:p>
            <w:r/>
            <w:r>
              <w:rPr>
                <w:rFonts w:ascii="Calibri" w:hAnsi="Calibri"/>
                <w:b w:val="0"/>
                <w:sz w:val="19"/>
              </w:rPr>
              <w:t>pH/equilibrium evidence</w:t>
            </w:r>
          </w:p>
        </w:tc>
      </w:tr>
      <w:tr>
        <w:tc>
          <w:tcPr>
            <w:tcW w:type="dxa" w:w="936"/>
            <w:vAlign w:val="center"/>
          </w:tcPr>
          <w:p>
            <w:r/>
            <w:r>
              <w:rPr>
                <w:rFonts w:ascii="Calibri" w:hAnsi="Calibri"/>
                <w:b w:val="0"/>
                <w:sz w:val="19"/>
              </w:rPr>
              <w:t>7</w:t>
            </w:r>
          </w:p>
        </w:tc>
        <w:tc>
          <w:tcPr>
            <w:tcW w:type="dxa" w:w="2880"/>
            <w:vAlign w:val="center"/>
          </w:tcPr>
          <w:p>
            <w:r/>
            <w:r>
              <w:rPr>
                <w:rFonts w:ascii="Calibri" w:hAnsi="Calibri"/>
                <w:b w:val="0"/>
                <w:sz w:val="19"/>
              </w:rPr>
              <w:t>Gases and nuclear chemistry</w:t>
            </w:r>
          </w:p>
        </w:tc>
        <w:tc>
          <w:tcPr>
            <w:tcW w:type="dxa" w:w="3024"/>
            <w:vAlign w:val="center"/>
          </w:tcPr>
          <w:p>
            <w:r/>
            <w:r>
              <w:rPr>
                <w:rFonts w:ascii="Calibri" w:hAnsi="Calibri"/>
                <w:b w:val="0"/>
                <w:sz w:val="19"/>
              </w:rPr>
              <w:t>Gas Laws, Nuclear</w:t>
            </w:r>
          </w:p>
        </w:tc>
        <w:tc>
          <w:tcPr>
            <w:tcW w:type="dxa" w:w="2592"/>
            <w:vAlign w:val="center"/>
          </w:tcPr>
          <w:p>
            <w:r/>
            <w:r>
              <w:rPr>
                <w:rFonts w:ascii="Calibri" w:hAnsi="Calibri"/>
                <w:b w:val="0"/>
                <w:sz w:val="19"/>
              </w:rPr>
              <w:t>Graph or decay evidence</w:t>
            </w:r>
          </w:p>
        </w:tc>
      </w:tr>
      <w:tr>
        <w:tc>
          <w:tcPr>
            <w:tcW w:type="dxa" w:w="936"/>
            <w:vAlign w:val="center"/>
          </w:tcPr>
          <w:p>
            <w:r/>
            <w:r>
              <w:rPr>
                <w:rFonts w:ascii="Calibri" w:hAnsi="Calibri"/>
                <w:b w:val="0"/>
                <w:sz w:val="19"/>
              </w:rPr>
              <w:t>8</w:t>
            </w:r>
          </w:p>
        </w:tc>
        <w:tc>
          <w:tcPr>
            <w:tcW w:type="dxa" w:w="2880"/>
            <w:vAlign w:val="center"/>
          </w:tcPr>
          <w:p>
            <w:r/>
            <w:r>
              <w:rPr>
                <w:rFonts w:ascii="Calibri" w:hAnsi="Calibri"/>
                <w:b w:val="0"/>
                <w:sz w:val="19"/>
              </w:rPr>
              <w:t>Cumulative portfolio</w:t>
            </w:r>
          </w:p>
        </w:tc>
        <w:tc>
          <w:tcPr>
            <w:tcW w:type="dxa" w:w="3024"/>
            <w:vAlign w:val="center"/>
          </w:tcPr>
          <w:p>
            <w:r/>
            <w:r>
              <w:rPr>
                <w:rFonts w:ascii="Calibri" w:hAnsi="Calibri"/>
                <w:b w:val="0"/>
                <w:sz w:val="19"/>
              </w:rPr>
              <w:t>Molecular Lab, Chemical Bench, Portfolio</w:t>
            </w:r>
          </w:p>
        </w:tc>
        <w:tc>
          <w:tcPr>
            <w:tcW w:type="dxa" w:w="2592"/>
            <w:vAlign w:val="center"/>
          </w:tcPr>
          <w:p>
            <w:r/>
            <w:r>
              <w:rPr>
                <w:rFonts w:ascii="Calibri" w:hAnsi="Calibri"/>
                <w:b w:val="0"/>
                <w:sz w:val="19"/>
              </w:rPr>
              <w:t>Evidence portfolio export</w:t>
            </w:r>
          </w:p>
        </w:tc>
      </w:tr>
    </w:tbl>
    <w:p>
      <w:pPr>
        <w:pStyle w:val="Heading1"/>
      </w:pPr>
      <w:r>
        <w:t>Premade Assignment Pack</w:t>
      </w:r>
    </w:p>
    <w:p>
      <w:r>
        <w:t>The public assignment page at https://atomency.com/assignments-premade/ includes ready-to-open Atomency assignment links. JSON backup files are included for teachers who want to import, edit, and regenerate classroom links in the Assignment Builder.</w:t>
      </w:r>
    </w:p>
    <w:p>
      <w:pPr>
        <w:pStyle w:val="Heading2"/>
      </w:pPr>
      <w:r>
        <w:t>Molecular Structure and VSEPR Evidence</w:t>
      </w:r>
    </w:p>
    <w:p>
      <w:r>
        <w:t>File: 01-molecular-structure-vsepr.atomency-assignment.json</w:t>
      </w:r>
    </w:p>
    <w:p>
      <w:r>
        <w:t>Time: 45-60 minutes | Modules: Molecular Lab, Portfolio | Standards: HS-PS1-1, HS-PS1-3</w:t>
      </w:r>
    </w:p>
    <w:p>
      <w:r>
        <w:t>Build the assigned molecules, collect structural evidence, then write a CER response. Use the Evidence Notebook for prediction, observation, and reflection.</w:t>
      </w:r>
    </w:p>
    <w:p>
      <w:pPr>
        <w:pStyle w:val="Heading2"/>
      </w:pPr>
      <w:r>
        <w:t>Chemical Bench: Precipitation Evidence</w:t>
      </w:r>
    </w:p>
    <w:p>
      <w:r>
        <w:t>File: 02-chemical-bench-precipitation-evidence.atomency-assignment.json</w:t>
      </w:r>
    </w:p>
    <w:p>
      <w:r>
        <w:t>Time: 45 minutes | Modules: Chemical Bench, Evidence Notebook | Standards: HS-PS1-2, HS-PS1-7</w:t>
      </w:r>
    </w:p>
    <w:p>
      <w:r>
        <w:t>Use Chemical Bench to compare precipitation reactions. Record visible evidence, species remaining in solution, and the balanced or net ionic equation when Atomency provides one.</w:t>
      </w:r>
    </w:p>
    <w:p>
      <w:pPr>
        <w:pStyle w:val="Heading2"/>
      </w:pPr>
      <w:r>
        <w:t>Acid-Base Neutralization and pH</w:t>
      </w:r>
    </w:p>
    <w:p>
      <w:r>
        <w:t>File: 03-acid-base-neutralization.atomency-assignment.json</w:t>
      </w:r>
    </w:p>
    <w:p>
      <w:r>
        <w:t>Time: 45-60 minutes | Modules: pH/Acids, Titration, Chemical Bench | Standards: HS-PS1-2, HS-PS1-5</w:t>
      </w:r>
    </w:p>
    <w:p>
      <w:r>
        <w:t>Predict pH trends before testing. Compare strong acid/base neutralization with a weak acid case, then connect observations to particle-level reasoning.</w:t>
      </w:r>
    </w:p>
    <w:p>
      <w:pPr>
        <w:pStyle w:val="Heading2"/>
      </w:pPr>
      <w:r>
        <w:t>Moles, Equations, and Stoichiometry Check</w:t>
      </w:r>
    </w:p>
    <w:p>
      <w:r>
        <w:t>File: 04-moles-stoichiometry-equation-check.atomency-assignment.json</w:t>
      </w:r>
    </w:p>
    <w:p>
      <w:r>
        <w:t>Time: 45 minutes | Modules: Equation Check, Mole Practice, Stoichiometry | Standards: HS-PS1-7</w:t>
      </w:r>
    </w:p>
    <w:p>
      <w:r>
        <w:t>Balance first, then use mole relationships. Atomency should be used as a verifier and evidence tool, not a one-click answer source.</w:t>
      </w:r>
    </w:p>
    <w:p>
      <w:pPr>
        <w:pStyle w:val="Heading2"/>
      </w:pPr>
      <w:r>
        <w:t>Gas Laws: Data and Claim</w:t>
      </w:r>
    </w:p>
    <w:p>
      <w:r>
        <w:t>File: 05-gas-laws-data-and-claim.atomency-assignment.json</w:t>
      </w:r>
    </w:p>
    <w:p>
      <w:r>
        <w:t>Time: 45 minutes | Modules: Gas Laws, Evidence Notebook | Standards: HS-PS3-4</w:t>
      </w:r>
    </w:p>
    <w:p>
      <w:r>
        <w:t>Collect data before writing the claim. Keep temperature and amount constant when testing Boyle's law.</w:t>
      </w:r>
    </w:p>
    <w:p>
      <w:pPr>
        <w:pStyle w:val="Heading2"/>
      </w:pPr>
      <w:r>
        <w:t>Thermochemistry and Kinetics: Energy Evidence</w:t>
      </w:r>
    </w:p>
    <w:p>
      <w:r>
        <w:t>File: 06-thermo-kinetics-energy-transfer.atomency-assignment.json</w:t>
      </w:r>
    </w:p>
    <w:p>
      <w:r>
        <w:t>Time: 60 minutes | Modules: Thermo, Kinetics | Standards: HS-PS1-4, HS-PS1-5</w:t>
      </w:r>
    </w:p>
    <w:p>
      <w:r>
        <w:t>Connect particle collisions, activation energy, and heat transfer. Record evidence from both the kinetics and thermo modules.</w:t>
      </w:r>
    </w:p>
    <w:p>
      <w:pPr>
        <w:pStyle w:val="Heading2"/>
      </w:pPr>
      <w:r>
        <w:t>Nuclear Decay and Half-Life</w:t>
      </w:r>
    </w:p>
    <w:p>
      <w:r>
        <w:t>File: 07-nuclear-decay-half-life.atomency-assignment.json</w:t>
      </w:r>
    </w:p>
    <w:p>
      <w:r>
        <w:t>Time: 45 minutes | Modules: Nuclear | Standards: HS-PS1-8</w:t>
      </w:r>
    </w:p>
    <w:p>
      <w:r>
        <w:t>Use the nuclear module to connect symbol changes, decay type, and half-life evidence.</w:t>
      </w:r>
    </w:p>
    <w:p>
      <w:pPr>
        <w:pStyle w:val="Heading2"/>
      </w:pPr>
      <w:r>
        <w:t>Cumulative Evidence Portfolio Check</w:t>
      </w:r>
    </w:p>
    <w:p>
      <w:r>
        <w:t>File: 08-cumulative-evidence-portfolio.atomency-assignment.json</w:t>
      </w:r>
    </w:p>
    <w:p>
      <w:r>
        <w:t>Time: 90 minutes or two class periods | Modules: Molecular Lab, Chemical Bench, Equilibrium, Portfolio | Standards: HS-PS1-1, HS-PS1-2, HS-PS1-6, HS-PS1-7</w:t>
      </w:r>
    </w:p>
    <w:p>
      <w:r>
        <w:t>Complete a model, a bench investigation, and a written explanation. Export a portfolio file or printed evidence summary for teacher review.</w:t>
      </w:r>
    </w:p>
    <w:p>
      <w:pPr>
        <w:pStyle w:val="Heading1"/>
      </w:pPr>
      <w:r>
        <w:t>Clever Deployment Guide</w:t>
      </w:r>
    </w:p>
    <w:p>
      <w:r>
        <w:t>For Clever, the recommended current workflow is district-managed launch and resource sharing, not a claimed full Clever application or SSO integration.</w:t>
      </w:r>
    </w:p>
    <w:p>
      <w:pPr>
        <w:pStyle w:val="ListNumber"/>
        <w:spacing w:after="60"/>
        <w:ind w:left="461" w:hanging="259"/>
      </w:pPr>
      <w:r>
        <w:t>District reviews Atomency licensing, privacy, supported chemistry scope, and classroom use plan.</w:t>
      </w:r>
    </w:p>
    <w:p>
      <w:pPr>
        <w:pStyle w:val="ListNumber"/>
        <w:spacing w:after="60"/>
        <w:ind w:left="461" w:hanging="259"/>
      </w:pPr>
      <w:r>
        <w:t>District approves https://atomency.com/ or a district-hosted Atomency link.</w:t>
      </w:r>
    </w:p>
    <w:p>
      <w:pPr>
        <w:pStyle w:val="ListNumber"/>
        <w:spacing w:after="60"/>
        <w:ind w:left="461" w:hanging="259"/>
      </w:pPr>
      <w:r>
        <w:t>Technology staff add Atomency as an approved resource, tile, bookmark, or link in the local Clever environment if their configuration permits.</w:t>
      </w:r>
    </w:p>
    <w:p>
      <w:pPr>
        <w:pStyle w:val="ListNumber"/>
        <w:spacing w:after="60"/>
        <w:ind w:left="461" w:hanging="259"/>
      </w:pPr>
      <w:r>
        <w:t>Teachers post assignment links generated from the current deployment through Clever, an LMS, a teacher page, or another approved class channel.</w:t>
      </w:r>
    </w:p>
    <w:p>
      <w:pPr>
        <w:pStyle w:val="ListNumber"/>
        <w:spacing w:after="60"/>
        <w:ind w:left="461" w:hanging="259"/>
      </w:pPr>
      <w:r>
        <w:t>Students open the approved link and work in the browser.</w:t>
      </w:r>
    </w:p>
    <w:p>
      <w:pPr>
        <w:pStyle w:val="ListNumber"/>
        <w:spacing w:after="60"/>
        <w:ind w:left="461" w:hanging="259"/>
      </w:pPr>
      <w:r>
        <w:t>Students submit portfolio exports, result summaries, or teacher-requested evidence through the district's normal submission workflow.</w:t>
      </w:r>
    </w:p>
    <w:p>
      <w:pPr>
        <w:pStyle w:val="Heading2"/>
      </w:pPr>
      <w:r>
        <w:t>Future Optional Clever SSO</w:t>
      </w:r>
    </w:p>
    <w:p>
      <w:r>
        <w:t>If a licensed district requests deeper integration, Atomency can evaluate Clever SSO. Clever's developer documentation describes District SSO as district-authorized and built around OAuth 2.0, OIDC, or SAML. A future Atomency SSO integration should request only the minimum user information required for authentication.</w:t>
      </w:r>
    </w:p>
    <w:p>
      <w:pPr>
        <w:pStyle w:val="ListBullet"/>
        <w:spacing w:after="60"/>
        <w:ind w:left="403" w:hanging="202"/>
      </w:pPr>
      <w:r>
        <w:t>Do not require SSO for the core product.</w:t>
      </w:r>
    </w:p>
    <w:p>
      <w:pPr>
        <w:pStyle w:val="ListBullet"/>
        <w:spacing w:after="60"/>
        <w:ind w:left="403" w:hanging="202"/>
      </w:pPr>
      <w:r>
        <w:t>Use district-approved SSO only when it reduces classroom friction.</w:t>
      </w:r>
    </w:p>
    <w:p>
      <w:pPr>
        <w:pStyle w:val="ListBullet"/>
        <w:spacing w:after="60"/>
        <w:ind w:left="403" w:hanging="202"/>
      </w:pPr>
      <w:r>
        <w:t>Keep data scopes minimal.</w:t>
      </w:r>
    </w:p>
    <w:p>
      <w:pPr>
        <w:pStyle w:val="ListBullet"/>
        <w:spacing w:after="60"/>
        <w:ind w:left="403" w:hanging="202"/>
      </w:pPr>
      <w:r>
        <w:t>Avoid roster, gradebook, or student record access unless a district explicitly requests and approves it.</w:t>
      </w:r>
    </w:p>
    <w:p>
      <w:pPr>
        <w:pStyle w:val="ListBullet"/>
        <w:spacing w:after="60"/>
        <w:ind w:left="403" w:hanging="202"/>
      </w:pPr>
      <w:r>
        <w:t>Maintain import/export workflows for classes that do not need accounts.</w:t>
      </w:r>
    </w:p>
    <w:p>
      <w:pPr>
        <w:pStyle w:val="Heading1"/>
      </w:pPr>
      <w:r>
        <w:t>Teacher Workflow</w:t>
      </w:r>
    </w:p>
    <w:p>
      <w:pPr>
        <w:pStyle w:val="ListNumber"/>
        <w:spacing w:after="60"/>
        <w:ind w:left="461" w:hanging="259"/>
      </w:pPr>
      <w:r>
        <w:t>Open https://atomency.com/assignments-premade/.</w:t>
      </w:r>
    </w:p>
    <w:p>
      <w:pPr>
        <w:pStyle w:val="ListNumber"/>
        <w:spacing w:after="60"/>
        <w:ind w:left="461" w:hanging="259"/>
      </w:pPr>
      <w:r>
        <w:t>Use a live assignment link, or import one `.atomency-assignment.json` backup file into https://atomency.com/assignments.html.</w:t>
      </w:r>
    </w:p>
    <w:p>
      <w:pPr>
        <w:pStyle w:val="ListNumber"/>
        <w:spacing w:after="60"/>
        <w:ind w:left="461" w:hanging="259"/>
      </w:pPr>
      <w:r>
        <w:t>Review and edit instructions, strict mode, timer, and local submission instructions.</w:t>
      </w:r>
    </w:p>
    <w:p>
      <w:pPr>
        <w:pStyle w:val="ListNumber"/>
        <w:spacing w:after="60"/>
        <w:ind w:left="461" w:hanging="259"/>
      </w:pPr>
      <w:r>
        <w:t>Generate a fresh assignment link from https://atomency.com/ or the licensed district deployment domain.</w:t>
      </w:r>
    </w:p>
    <w:p>
      <w:pPr>
        <w:pStyle w:val="ListNumber"/>
        <w:spacing w:after="60"/>
        <w:ind w:left="461" w:hanging="259"/>
      </w:pPr>
      <w:r>
        <w:t>Share the link through Clever, LMS, teacher page, or another district-approved channel.</w:t>
      </w:r>
    </w:p>
    <w:p>
      <w:pPr>
        <w:pStyle w:val="ListNumber"/>
        <w:spacing w:after="60"/>
        <w:ind w:left="461" w:hanging="259"/>
      </w:pPr>
      <w:r>
        <w:t>Ask students to export portfolio evidence or submit the result summary as directed.</w:t>
      </w:r>
    </w:p>
    <w:p>
      <w:pPr>
        <w:pStyle w:val="Heading1"/>
      </w:pPr>
      <w:r>
        <w:t>Support and Implementation Expectations</w:t>
      </w:r>
    </w:p>
    <w:p>
      <w:pPr>
        <w:pStyle w:val="ListBullet"/>
        <w:spacing w:after="60"/>
        <w:ind w:left="403" w:hanging="202"/>
      </w:pPr>
      <w:r>
        <w:t>Pilot classrooms receive a short onboarding walkthrough.</w:t>
      </w:r>
    </w:p>
    <w:p>
      <w:pPr>
        <w:pStyle w:val="ListBullet"/>
        <w:spacing w:after="60"/>
        <w:ind w:left="403" w:hanging="202"/>
      </w:pPr>
      <w:r>
        <w:t>Teachers receive assignment builder setup support.</w:t>
      </w:r>
    </w:p>
    <w:p>
      <w:pPr>
        <w:pStyle w:val="ListBullet"/>
        <w:spacing w:after="60"/>
        <w:ind w:left="403" w:hanging="202"/>
      </w:pPr>
      <w:r>
        <w:t>The premade assignment pack can be imported and revised locally.</w:t>
      </w:r>
    </w:p>
    <w:p>
      <w:pPr>
        <w:pStyle w:val="ListBullet"/>
        <w:spacing w:after="60"/>
        <w:ind w:left="403" w:hanging="202"/>
      </w:pPr>
      <w:r>
        <w:t>Portfolio export/import practice is included in onboarding.</w:t>
      </w:r>
    </w:p>
    <w:p>
      <w:pPr>
        <w:pStyle w:val="ListBullet"/>
        <w:spacing w:after="60"/>
        <w:ind w:left="403" w:hanging="202"/>
      </w:pPr>
      <w:r>
        <w:t>Classroom-blocking issues receive priority during the license term.</w:t>
      </w:r>
    </w:p>
    <w:p>
      <w:pPr>
        <w:pStyle w:val="ListBullet"/>
        <w:spacing w:after="60"/>
        <w:ind w:left="403" w:hanging="202"/>
      </w:pPr>
      <w:r>
        <w:t>Update notes are provided when chemistry data, assignment behavior, or portfolio exports change.</w:t>
      </w:r>
    </w:p>
    <w:p>
      <w:pPr>
        <w:pStyle w:val="Heading1"/>
      </w:pPr>
      <w:r>
        <w:t>Assessment Suggestions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4968"/>
        <w:gridCol w:w="4968"/>
      </w:tblGrid>
      <w:tr>
        <w:tc>
          <w:tcPr>
            <w:tcW w:type="dxa" w:w="4680"/>
            <w:shd w:fill="E8EEF5"/>
            <w:vAlign w:val="center"/>
          </w:tcPr>
          <w:p>
            <w:r/>
            <w:r>
              <w:rPr>
                <w:rFonts w:ascii="Calibri" w:hAnsi="Calibri"/>
                <w:b/>
                <w:color w:val="1F4D78"/>
                <w:sz w:val="19"/>
              </w:rPr>
              <w:t>Component</w:t>
            </w:r>
          </w:p>
        </w:tc>
        <w:tc>
          <w:tcPr>
            <w:tcW w:type="dxa" w:w="4680"/>
            <w:shd w:fill="E8EEF5"/>
            <w:vAlign w:val="center"/>
          </w:tcPr>
          <w:p>
            <w:r/>
            <w:r>
              <w:rPr>
                <w:rFonts w:ascii="Calibri" w:hAnsi="Calibri"/>
                <w:b/>
                <w:color w:val="1F4D78"/>
                <w:sz w:val="19"/>
              </w:rPr>
              <w:t>Suggested Weight</w:t>
            </w:r>
          </w:p>
        </w:tc>
      </w:tr>
      <w:tr>
        <w:tc>
          <w:tcPr>
            <w:tcW w:type="dxa" w:w="4968"/>
            <w:vAlign w:val="center"/>
          </w:tcPr>
          <w:p>
            <w:r/>
            <w:r>
              <w:rPr>
                <w:rFonts w:ascii="Calibri" w:hAnsi="Calibri"/>
                <w:b w:val="0"/>
                <w:sz w:val="19"/>
              </w:rPr>
              <w:t>Model or bench completion</w:t>
            </w:r>
          </w:p>
        </w:tc>
        <w:tc>
          <w:tcPr>
            <w:tcW w:type="dxa" w:w="4968"/>
            <w:vAlign w:val="center"/>
          </w:tcPr>
          <w:p>
            <w:r/>
            <w:r>
              <w:rPr>
                <w:rFonts w:ascii="Calibri" w:hAnsi="Calibri"/>
                <w:b w:val="0"/>
                <w:sz w:val="19"/>
              </w:rPr>
              <w:t>30%</w:t>
            </w:r>
          </w:p>
        </w:tc>
      </w:tr>
      <w:tr>
        <w:tc>
          <w:tcPr>
            <w:tcW w:type="dxa" w:w="4968"/>
            <w:vAlign w:val="center"/>
          </w:tcPr>
          <w:p>
            <w:r/>
            <w:r>
              <w:rPr>
                <w:rFonts w:ascii="Calibri" w:hAnsi="Calibri"/>
                <w:b w:val="0"/>
                <w:sz w:val="19"/>
              </w:rPr>
              <w:t>Data quality and observations</w:t>
            </w:r>
          </w:p>
        </w:tc>
        <w:tc>
          <w:tcPr>
            <w:tcW w:type="dxa" w:w="4968"/>
            <w:vAlign w:val="center"/>
          </w:tcPr>
          <w:p>
            <w:r/>
            <w:r>
              <w:rPr>
                <w:rFonts w:ascii="Calibri" w:hAnsi="Calibri"/>
                <w:b w:val="0"/>
                <w:sz w:val="19"/>
              </w:rPr>
              <w:t>30%</w:t>
            </w:r>
          </w:p>
        </w:tc>
      </w:tr>
      <w:tr>
        <w:tc>
          <w:tcPr>
            <w:tcW w:type="dxa" w:w="4968"/>
            <w:vAlign w:val="center"/>
          </w:tcPr>
          <w:p>
            <w:r/>
            <w:r>
              <w:rPr>
                <w:rFonts w:ascii="Calibri" w:hAnsi="Calibri"/>
                <w:b w:val="0"/>
                <w:sz w:val="19"/>
              </w:rPr>
              <w:t>CER explanation</w:t>
            </w:r>
          </w:p>
        </w:tc>
        <w:tc>
          <w:tcPr>
            <w:tcW w:type="dxa" w:w="4968"/>
            <w:vAlign w:val="center"/>
          </w:tcPr>
          <w:p>
            <w:r/>
            <w:r>
              <w:rPr>
                <w:rFonts w:ascii="Calibri" w:hAnsi="Calibri"/>
                <w:b w:val="0"/>
                <w:sz w:val="19"/>
              </w:rPr>
              <w:t>30%</w:t>
            </w:r>
          </w:p>
        </w:tc>
      </w:tr>
      <w:tr>
        <w:tc>
          <w:tcPr>
            <w:tcW w:type="dxa" w:w="4968"/>
            <w:vAlign w:val="center"/>
          </w:tcPr>
          <w:p>
            <w:r/>
            <w:r>
              <w:rPr>
                <w:rFonts w:ascii="Calibri" w:hAnsi="Calibri"/>
                <w:b w:val="0"/>
                <w:sz w:val="19"/>
              </w:rPr>
              <w:t>Reflection, revision, or portfolio organization</w:t>
            </w:r>
          </w:p>
        </w:tc>
        <w:tc>
          <w:tcPr>
            <w:tcW w:type="dxa" w:w="4968"/>
            <w:vAlign w:val="center"/>
          </w:tcPr>
          <w:p>
            <w:r/>
            <w:r>
              <w:rPr>
                <w:rFonts w:ascii="Calibri" w:hAnsi="Calibri"/>
                <w:b w:val="0"/>
                <w:sz w:val="19"/>
              </w:rPr>
              <w:t>10%</w:t>
            </w:r>
          </w:p>
        </w:tc>
      </w:tr>
    </w:tbl>
    <w:p>
      <w:pPr>
        <w:pStyle w:val="Heading1"/>
      </w:pPr>
      <w:r>
        <w:t>District Implementation Checklist</w:t>
      </w:r>
    </w:p>
    <w:p>
      <w:pPr>
        <w:pStyle w:val="ListBullet"/>
        <w:spacing w:after="60"/>
        <w:ind w:left="403" w:hanging="202"/>
      </w:pPr>
      <w:r>
        <w:t>Confirm license or written authorization.</w:t>
      </w:r>
    </w:p>
    <w:p>
      <w:pPr>
        <w:pStyle w:val="ListBullet"/>
        <w:spacing w:after="60"/>
        <w:ind w:left="403" w:hanging="202"/>
      </w:pPr>
      <w:r>
        <w:t>Confirm https://atomency.com/ or the district-hosted Atomency link is approved.</w:t>
      </w:r>
    </w:p>
    <w:p>
      <w:pPr>
        <w:pStyle w:val="ListBullet"/>
        <w:spacing w:after="60"/>
        <w:ind w:left="403" w:hanging="202"/>
      </w:pPr>
      <w:r>
        <w:t>Test on student Chromebooks and staff devices.</w:t>
      </w:r>
    </w:p>
    <w:p>
      <w:pPr>
        <w:pStyle w:val="ListBullet"/>
        <w:spacing w:after="60"/>
        <w:ind w:left="403" w:hanging="202"/>
      </w:pPr>
      <w:r>
        <w:t>Test assignment links from the district-approved sharing channel.</w:t>
      </w:r>
    </w:p>
    <w:p>
      <w:pPr>
        <w:pStyle w:val="ListBullet"/>
        <w:spacing w:after="60"/>
        <w:ind w:left="403" w:hanging="202"/>
      </w:pPr>
      <w:r>
        <w:t>Import all premade assignment JSON files into the assignment builder.</w:t>
      </w:r>
    </w:p>
    <w:p>
      <w:pPr>
        <w:pStyle w:val="ListBullet"/>
        <w:spacing w:after="60"/>
        <w:ind w:left="403" w:hanging="202"/>
      </w:pPr>
      <w:r>
        <w:t>Confirm portfolio export/import works under school device restrictions.</w:t>
      </w:r>
    </w:p>
    <w:p>
      <w:pPr>
        <w:pStyle w:val="ListBullet"/>
        <w:spacing w:after="60"/>
        <w:ind w:left="403" w:hanging="202"/>
      </w:pPr>
      <w:r>
        <w:t>Decide where students submit evidence.</w:t>
      </w:r>
    </w:p>
    <w:p>
      <w:pPr>
        <w:pStyle w:val="ListBullet"/>
        <w:spacing w:after="60"/>
        <w:ind w:left="403" w:hanging="202"/>
      </w:pPr>
      <w:r>
        <w:t>Decide whether Clever is used as a simple launch tile/link or whether deeper SSO should be evaluated later.</w:t>
      </w:r>
    </w:p>
    <w:p>
      <w:pPr>
        <w:pStyle w:val="ListBullet"/>
        <w:spacing w:after="60"/>
        <w:ind w:left="403" w:hanging="202"/>
      </w:pPr>
      <w:r>
        <w:t>Provide teachers with the learning plan, assignment pack, supported chemistry scope, and one-page review sheet.</w:t>
      </w:r>
    </w:p>
    <w:p>
      <w:pPr>
        <w:pStyle w:val="Heading1"/>
      </w:pPr>
      <w:r>
        <w:t>Official Clever References Reviewed</w:t>
      </w:r>
    </w:p>
    <w:p>
      <w:pPr>
        <w:pStyle w:val="ListBullet"/>
        <w:spacing w:after="60"/>
        <w:ind w:left="403" w:hanging="202"/>
      </w:pPr>
      <w:r>
        <w:t>Clever Single Sign-On Overview: https://dev.clever.com/docs/sso-overview</w:t>
      </w:r>
    </w:p>
    <w:p>
      <w:pPr>
        <w:pStyle w:val="ListBullet"/>
        <w:spacing w:after="60"/>
        <w:ind w:left="403" w:hanging="202"/>
      </w:pPr>
      <w:r>
        <w:t>Clever Complete Integration Types and Quickstart Guides: https://dev.clever.com/docs/integration-types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1152" w:right="1152" w:bottom="1080" w:left="1152" w:header="504" w:footer="504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color w:val="646464"/>
        <w:sz w:val="16"/>
      </w:rPr>
      <w:t>Public exploration available; official classroom use requires paid license or written authorization.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right"/>
    </w:pPr>
    <w:r>
      <w:rPr>
        <w:color w:val="646464"/>
        <w:sz w:val="16"/>
      </w:rPr>
      <w:t>Atomency Learning Plan + Clever Deployment Guide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20" w:line="283" w:lineRule="auto"/>
    </w:pPr>
    <w:rPr>
      <w:rFonts w:ascii="Calibri" w:hAnsi="Calibri"/>
      <w:color w:val="222222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280" w:after="140"/>
      <w:outlineLvl w:val="0"/>
    </w:pPr>
    <w:rPr>
      <w:rFonts w:asciiTheme="majorHAnsi" w:eastAsiaTheme="majorEastAsia" w:hAnsiTheme="majorHAnsi" w:cstheme="majorBidi" w:ascii="Calibri" w:hAnsi="Calibri"/>
      <w:b/>
      <w:bCs/>
      <w:color w:val="1F4D78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100"/>
      <w:outlineLvl w:val="1"/>
    </w:pPr>
    <w:rPr>
      <w:rFonts w:asciiTheme="majorHAnsi" w:eastAsiaTheme="majorEastAsia" w:hAnsiTheme="majorHAnsi" w:cstheme="majorBidi" w:ascii="Calibri" w:hAnsi="Calibri"/>
      <w:b/>
      <w:bCs/>
      <w:color w:val="2E74B5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 w:ascii="Calibri" w:hAnsi="Calibri"/>
      <w:b/>
      <w:bCs/>
      <w:color w:val="1F4D78"/>
      <w:sz w:val="23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Atomency Chemistry Learning Plan + Clever Deployment Guide</dc:title>
  <dc:subject>Instructional chemistry learning plan, premade assignments, and Clever deployment guidance</dc:subject>
  <dc:creator>Atomency</dc:creator>
  <cp:keywords>Atomency, chemistry, NGSS, Clever, assignments, district deployment</cp:keywords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